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2998" w:rsidRPr="00D02998" w:rsidRDefault="00477B97" w:rsidP="00D02998">
      <w:pPr>
        <w:contextualSpacing w:val="0"/>
        <w:jc w:val="center"/>
        <w:rPr>
          <w:rFonts w:ascii="Calibri" w:eastAsia="Times New Roman" w:hAnsi="Calibri"/>
          <w:b/>
          <w:bCs/>
          <w:color w:val="002060"/>
          <w:sz w:val="42"/>
          <w:szCs w:val="42"/>
        </w:rPr>
      </w:pPr>
      <w:r>
        <w:rPr>
          <w:noProof/>
          <w:lang w:val="en-GB"/>
        </w:rPr>
        <w:drawing>
          <wp:anchor distT="114300" distB="114300" distL="114300" distR="114300" simplePos="0" relativeHeight="251648000" behindDoc="0" locked="0" layoutInCell="1" hidden="0" allowOverlap="1">
            <wp:simplePos x="0" y="0"/>
            <wp:positionH relativeFrom="margin">
              <wp:posOffset>-368935</wp:posOffset>
            </wp:positionH>
            <wp:positionV relativeFrom="paragraph">
              <wp:posOffset>-633730</wp:posOffset>
            </wp:positionV>
            <wp:extent cx="1574800" cy="1003300"/>
            <wp:effectExtent l="0" t="0" r="6350" b="6350"/>
            <wp:wrapNone/>
            <wp:docPr id="2" name="image6.jpg" descr="Image result for AMSP maths"/>
            <wp:cNvGraphicFramePr/>
            <a:graphic xmlns:a="http://schemas.openxmlformats.org/drawingml/2006/main">
              <a:graphicData uri="http://schemas.openxmlformats.org/drawingml/2006/picture">
                <pic:pic xmlns:pic="http://schemas.openxmlformats.org/drawingml/2006/picture">
                  <pic:nvPicPr>
                    <pic:cNvPr id="0" name="image6.jpg" descr="Image result for AMSP maths"/>
                    <pic:cNvPicPr preferRelativeResize="0"/>
                  </pic:nvPicPr>
                  <pic:blipFill>
                    <a:blip r:embed="rId6"/>
                    <a:srcRect/>
                    <a:stretch>
                      <a:fillRect/>
                    </a:stretch>
                  </pic:blipFill>
                  <pic:spPr>
                    <a:xfrm>
                      <a:off x="0" y="0"/>
                      <a:ext cx="1574800" cy="1003300"/>
                    </a:xfrm>
                    <a:prstGeom prst="rect">
                      <a:avLst/>
                    </a:prstGeom>
                    <a:ln/>
                  </pic:spPr>
                </pic:pic>
              </a:graphicData>
            </a:graphic>
            <wp14:sizeRelH relativeFrom="margin">
              <wp14:pctWidth>0</wp14:pctWidth>
            </wp14:sizeRelH>
            <wp14:sizeRelV relativeFrom="margin">
              <wp14:pctHeight>0</wp14:pctHeight>
            </wp14:sizeRelV>
          </wp:anchor>
        </w:drawing>
      </w:r>
      <w:r w:rsidR="00D02998" w:rsidRPr="00D02998">
        <w:rPr>
          <w:rFonts w:ascii="Calibri" w:eastAsia="Times New Roman" w:hAnsi="Calibri"/>
          <w:b/>
          <w:bCs/>
          <w:color w:val="002060"/>
          <w:sz w:val="42"/>
          <w:szCs w:val="42"/>
        </w:rPr>
        <w:t>Supporting Core Maths</w:t>
      </w:r>
    </w:p>
    <w:p w:rsidR="00D02998" w:rsidRPr="00D02998" w:rsidRDefault="00D02998" w:rsidP="00D02998">
      <w:pPr>
        <w:shd w:val="clear" w:color="auto" w:fill="FFFFFF"/>
        <w:spacing w:line="240" w:lineRule="auto"/>
        <w:jc w:val="center"/>
        <w:rPr>
          <w:rFonts w:ascii="Calibri" w:eastAsia="Times New Roman" w:hAnsi="Calibri"/>
          <w:bCs/>
          <w:i/>
          <w:color w:val="002060"/>
          <w:sz w:val="36"/>
          <w:szCs w:val="42"/>
        </w:rPr>
      </w:pPr>
      <w:proofErr w:type="gramStart"/>
      <w:r w:rsidRPr="00D02998">
        <w:rPr>
          <w:rFonts w:ascii="Calibri" w:eastAsia="Times New Roman" w:hAnsi="Calibri"/>
          <w:bCs/>
          <w:i/>
          <w:color w:val="002060"/>
          <w:sz w:val="36"/>
          <w:szCs w:val="42"/>
        </w:rPr>
        <w:t>for</w:t>
      </w:r>
      <w:proofErr w:type="gramEnd"/>
      <w:r w:rsidRPr="00D02998">
        <w:rPr>
          <w:rFonts w:ascii="Calibri" w:eastAsia="Times New Roman" w:hAnsi="Calibri"/>
          <w:bCs/>
          <w:i/>
          <w:color w:val="002060"/>
          <w:sz w:val="36"/>
          <w:szCs w:val="42"/>
        </w:rPr>
        <w:t xml:space="preserve"> all current and potential teachers of Core Maths</w:t>
      </w:r>
    </w:p>
    <w:p w:rsidR="00477B97" w:rsidRPr="00477B97" w:rsidRDefault="00477B97">
      <w:pPr>
        <w:ind w:left="-720" w:right="-450"/>
        <w:contextualSpacing w:val="0"/>
        <w:rPr>
          <w:b/>
          <w:color w:val="365F91" w:themeColor="accent1" w:themeShade="BF"/>
          <w:sz w:val="8"/>
        </w:rPr>
      </w:pPr>
    </w:p>
    <w:p w:rsidR="002A2AD3" w:rsidRPr="00D02998" w:rsidRDefault="00D02998" w:rsidP="00477B97">
      <w:pPr>
        <w:ind w:left="-720" w:right="-450"/>
        <w:contextualSpacing w:val="0"/>
        <w:jc w:val="both"/>
        <w:rPr>
          <w:b/>
          <w:color w:val="365F91" w:themeColor="accent1" w:themeShade="BF"/>
        </w:rPr>
      </w:pPr>
      <w:r w:rsidRPr="00D02998">
        <w:rPr>
          <w:b/>
          <w:color w:val="365F91" w:themeColor="accent1" w:themeShade="BF"/>
        </w:rPr>
        <w:t>Overview</w:t>
      </w:r>
    </w:p>
    <w:p w:rsidR="002A2AD3" w:rsidRPr="00D02998" w:rsidRDefault="00D02998" w:rsidP="00477B97">
      <w:pPr>
        <w:ind w:left="-720" w:right="-450"/>
        <w:contextualSpacing w:val="0"/>
        <w:jc w:val="both"/>
        <w:rPr>
          <w:color w:val="365F91" w:themeColor="accent1" w:themeShade="BF"/>
        </w:rPr>
      </w:pPr>
      <w:r w:rsidRPr="00D02998">
        <w:rPr>
          <w:color w:val="365F91" w:themeColor="accent1" w:themeShade="BF"/>
        </w:rPr>
        <w:t>This Network Collaborative Project is designed and run by the Boolean Hub in association with the Advanced Maths Support Programme and the GLOW Hub and is aimed to provide sustained professional development for Core Maths Teachers. It is a contribution to the wider national effort to increase the profile of Core Maths in particular and participation in Level 3 qualifications in general.</w:t>
      </w:r>
    </w:p>
    <w:p w:rsidR="002A2AD3" w:rsidRPr="00477B97" w:rsidRDefault="002A2AD3" w:rsidP="00477B97">
      <w:pPr>
        <w:ind w:left="-720" w:right="-450"/>
        <w:contextualSpacing w:val="0"/>
        <w:jc w:val="both"/>
        <w:rPr>
          <w:sz w:val="8"/>
        </w:rPr>
      </w:pPr>
    </w:p>
    <w:p w:rsidR="002A2AD3" w:rsidRPr="00D02998" w:rsidRDefault="00D02998" w:rsidP="00477B97">
      <w:pPr>
        <w:ind w:left="-720" w:right="-450"/>
        <w:contextualSpacing w:val="0"/>
        <w:jc w:val="both"/>
        <w:rPr>
          <w:b/>
          <w:color w:val="365F91" w:themeColor="accent1" w:themeShade="BF"/>
        </w:rPr>
      </w:pPr>
      <w:r w:rsidRPr="00D02998">
        <w:rPr>
          <w:b/>
          <w:color w:val="365F91" w:themeColor="accent1" w:themeShade="BF"/>
        </w:rPr>
        <w:t>Who is it for?</w:t>
      </w:r>
    </w:p>
    <w:p w:rsidR="002A2AD3" w:rsidRPr="00D02998" w:rsidRDefault="00D02998" w:rsidP="00477B97">
      <w:pPr>
        <w:ind w:left="-720" w:right="-450"/>
        <w:contextualSpacing w:val="0"/>
        <w:jc w:val="both"/>
        <w:rPr>
          <w:color w:val="365F91" w:themeColor="accent1" w:themeShade="BF"/>
        </w:rPr>
      </w:pPr>
      <w:r w:rsidRPr="00D02998">
        <w:rPr>
          <w:color w:val="365F91" w:themeColor="accent1" w:themeShade="BF"/>
        </w:rPr>
        <w:t>All current and potential teachers of Core Maths.</w:t>
      </w:r>
    </w:p>
    <w:p w:rsidR="002A2AD3" w:rsidRPr="00477B97" w:rsidRDefault="002A2AD3" w:rsidP="00477B97">
      <w:pPr>
        <w:ind w:left="-720" w:right="-450"/>
        <w:contextualSpacing w:val="0"/>
        <w:jc w:val="both"/>
        <w:rPr>
          <w:b/>
          <w:sz w:val="12"/>
        </w:rPr>
      </w:pPr>
    </w:p>
    <w:p w:rsidR="002A2AD3" w:rsidRPr="00D02998" w:rsidRDefault="00D02998" w:rsidP="00477B97">
      <w:pPr>
        <w:ind w:left="-720" w:right="-450"/>
        <w:contextualSpacing w:val="0"/>
        <w:jc w:val="both"/>
        <w:rPr>
          <w:b/>
          <w:color w:val="365F91" w:themeColor="accent1" w:themeShade="BF"/>
        </w:rPr>
      </w:pPr>
      <w:r w:rsidRPr="00D02998">
        <w:rPr>
          <w:b/>
          <w:color w:val="365F91" w:themeColor="accent1" w:themeShade="BF"/>
        </w:rPr>
        <w:t>What does it involve?</w:t>
      </w:r>
    </w:p>
    <w:p w:rsidR="002A2AD3" w:rsidRPr="00D02998" w:rsidRDefault="00D02998" w:rsidP="00477B97">
      <w:pPr>
        <w:ind w:left="-720" w:right="-450"/>
        <w:contextualSpacing w:val="0"/>
        <w:jc w:val="both"/>
        <w:rPr>
          <w:color w:val="365F91" w:themeColor="accent1" w:themeShade="BF"/>
        </w:rPr>
      </w:pPr>
      <w:r w:rsidRPr="00D02998">
        <w:rPr>
          <w:color w:val="365F91" w:themeColor="accent1" w:themeShade="BF"/>
        </w:rPr>
        <w:t>Three afternoon/twilight meetings in the spring of 2019. See dates and location below. There will be gap tasks and a commitment to sharing good practice and developing your skills. Participants will work collaboratively with colleagues from other schools in a school-to-school support model with the aim for long-</w:t>
      </w:r>
      <w:r>
        <w:rPr>
          <w:color w:val="365F91" w:themeColor="accent1" w:themeShade="BF"/>
        </w:rPr>
        <w:t>term links to be made with like-</w:t>
      </w:r>
      <w:r w:rsidRPr="00D02998">
        <w:rPr>
          <w:color w:val="365F91" w:themeColor="accent1" w:themeShade="BF"/>
        </w:rPr>
        <w:t>minded colleagues in the area.</w:t>
      </w:r>
    </w:p>
    <w:p w:rsidR="002A2AD3" w:rsidRPr="00477B97" w:rsidRDefault="002A2AD3" w:rsidP="00477B97">
      <w:pPr>
        <w:ind w:left="-720" w:right="-450"/>
        <w:contextualSpacing w:val="0"/>
        <w:jc w:val="both"/>
        <w:rPr>
          <w:sz w:val="12"/>
        </w:rPr>
      </w:pPr>
    </w:p>
    <w:p w:rsidR="002A2AD3" w:rsidRPr="00D02998" w:rsidRDefault="00D02998" w:rsidP="00477B97">
      <w:pPr>
        <w:ind w:left="-720" w:right="-450"/>
        <w:contextualSpacing w:val="0"/>
        <w:jc w:val="both"/>
        <w:rPr>
          <w:b/>
          <w:color w:val="365F91" w:themeColor="accent1" w:themeShade="BF"/>
        </w:rPr>
      </w:pPr>
      <w:r w:rsidRPr="00D02998">
        <w:rPr>
          <w:b/>
          <w:color w:val="365F91" w:themeColor="accent1" w:themeShade="BF"/>
        </w:rPr>
        <w:t>What is the specific focus?</w:t>
      </w:r>
    </w:p>
    <w:p w:rsidR="002A2AD3" w:rsidRPr="00D02998" w:rsidRDefault="00D02998" w:rsidP="00477B97">
      <w:pPr>
        <w:ind w:left="-720" w:right="-450"/>
        <w:contextualSpacing w:val="0"/>
        <w:jc w:val="both"/>
        <w:rPr>
          <w:color w:val="365F91" w:themeColor="accent1" w:themeShade="BF"/>
        </w:rPr>
      </w:pPr>
      <w:r w:rsidRPr="00D02998">
        <w:rPr>
          <w:color w:val="365F91" w:themeColor="accent1" w:themeShade="BF"/>
        </w:rPr>
        <w:t>The group will primarily look at pre-release materials from all the relevant boards (depending on participants) and develop strategies for best preparing</w:t>
      </w:r>
      <w:r>
        <w:rPr>
          <w:color w:val="365F91" w:themeColor="accent1" w:themeShade="BF"/>
        </w:rPr>
        <w:t xml:space="preserve"> students for the exams in the s</w:t>
      </w:r>
      <w:r w:rsidRPr="00D02998">
        <w:rPr>
          <w:color w:val="365F91" w:themeColor="accent1" w:themeShade="BF"/>
        </w:rPr>
        <w:t>ummer of 2019.</w:t>
      </w:r>
    </w:p>
    <w:p w:rsidR="002A2AD3" w:rsidRDefault="00D02998" w:rsidP="00477B97">
      <w:pPr>
        <w:ind w:left="-720" w:right="-450"/>
        <w:contextualSpacing w:val="0"/>
        <w:jc w:val="both"/>
        <w:rPr>
          <w:color w:val="365F91" w:themeColor="accent1" w:themeShade="BF"/>
        </w:rPr>
      </w:pPr>
      <w:r w:rsidRPr="00D02998">
        <w:rPr>
          <w:color w:val="365F91" w:themeColor="accent1" w:themeShade="BF"/>
        </w:rPr>
        <w:t>In addition to this, there will be an opportunity to look at cross curricular resources to support the teaching of Core Maths.</w:t>
      </w:r>
    </w:p>
    <w:p w:rsidR="00D02998" w:rsidRPr="00477B97" w:rsidRDefault="00D02998" w:rsidP="00477B97">
      <w:pPr>
        <w:ind w:left="-720" w:right="-450"/>
        <w:contextualSpacing w:val="0"/>
        <w:jc w:val="both"/>
        <w:rPr>
          <w:color w:val="365F91" w:themeColor="accent1" w:themeShade="BF"/>
          <w:sz w:val="12"/>
        </w:rPr>
      </w:pPr>
    </w:p>
    <w:p w:rsidR="002A2AD3" w:rsidRPr="00D02998" w:rsidRDefault="00D02998" w:rsidP="00477B97">
      <w:pPr>
        <w:ind w:left="-720" w:right="-450"/>
        <w:contextualSpacing w:val="0"/>
        <w:jc w:val="both"/>
        <w:rPr>
          <w:color w:val="365F91" w:themeColor="accent1" w:themeShade="BF"/>
        </w:rPr>
      </w:pPr>
      <w:r w:rsidRPr="00D02998">
        <w:rPr>
          <w:color w:val="365F91" w:themeColor="accent1" w:themeShade="BF"/>
        </w:rPr>
        <w:t>It is important that everyone gets something out of their participation and we will work hard as work group leaders to ensure that additional specific support is given where possible.</w:t>
      </w:r>
    </w:p>
    <w:p w:rsidR="002A2AD3" w:rsidRPr="00477B97" w:rsidRDefault="002A2AD3" w:rsidP="00477B97">
      <w:pPr>
        <w:ind w:left="-720" w:right="-450"/>
        <w:contextualSpacing w:val="0"/>
        <w:jc w:val="both"/>
        <w:rPr>
          <w:sz w:val="12"/>
        </w:rPr>
      </w:pPr>
    </w:p>
    <w:p w:rsidR="002A2AD3" w:rsidRPr="00D02998" w:rsidRDefault="00D02998" w:rsidP="00477B97">
      <w:pPr>
        <w:ind w:left="-720" w:right="-450"/>
        <w:contextualSpacing w:val="0"/>
        <w:jc w:val="both"/>
        <w:rPr>
          <w:b/>
          <w:color w:val="365F91" w:themeColor="accent1" w:themeShade="BF"/>
        </w:rPr>
      </w:pPr>
      <w:r w:rsidRPr="00D02998">
        <w:rPr>
          <w:b/>
          <w:color w:val="365F91" w:themeColor="accent1" w:themeShade="BF"/>
        </w:rPr>
        <w:t>Funding</w:t>
      </w:r>
    </w:p>
    <w:p w:rsidR="00D02998" w:rsidRPr="00D02998" w:rsidRDefault="00D02998" w:rsidP="00477B97">
      <w:pPr>
        <w:ind w:left="-720" w:right="-450"/>
        <w:contextualSpacing w:val="0"/>
        <w:jc w:val="both"/>
        <w:rPr>
          <w:color w:val="365F91" w:themeColor="accent1" w:themeShade="BF"/>
        </w:rPr>
      </w:pPr>
      <w:r w:rsidRPr="00D02998">
        <w:rPr>
          <w:color w:val="365F91" w:themeColor="accent1" w:themeShade="BF"/>
        </w:rPr>
        <w:t xml:space="preserve">The cost of this work group is funded by the Maths Hub and so is </w:t>
      </w:r>
      <w:r w:rsidRPr="00D02998">
        <w:rPr>
          <w:b/>
          <w:color w:val="365F91" w:themeColor="accent1" w:themeShade="BF"/>
        </w:rPr>
        <w:t>free</w:t>
      </w:r>
      <w:r w:rsidRPr="00D02998">
        <w:rPr>
          <w:color w:val="365F91" w:themeColor="accent1" w:themeShade="BF"/>
        </w:rPr>
        <w:t xml:space="preserve"> to schools. Please note that schools will need to cover their own cover costs, and a non-attendance without notification may carry an administration charge per session missed.</w:t>
      </w:r>
      <w:r>
        <w:rPr>
          <w:color w:val="365F91" w:themeColor="accent1" w:themeShade="BF"/>
        </w:rPr>
        <w:t xml:space="preserve">   </w:t>
      </w:r>
    </w:p>
    <w:p w:rsidR="002A2AD3" w:rsidRPr="00477B97" w:rsidRDefault="00D02998" w:rsidP="00477B97">
      <w:pPr>
        <w:ind w:left="-720"/>
        <w:contextualSpacing w:val="0"/>
        <w:jc w:val="both"/>
        <w:rPr>
          <w:sz w:val="12"/>
          <w:szCs w:val="24"/>
        </w:rPr>
      </w:pPr>
      <w:r w:rsidRPr="00477B97">
        <w:rPr>
          <w:sz w:val="12"/>
          <w:szCs w:val="24"/>
        </w:rPr>
        <w:t xml:space="preserve"> </w:t>
      </w:r>
    </w:p>
    <w:p w:rsidR="002A2AD3" w:rsidRDefault="00D02998" w:rsidP="00477B97">
      <w:pPr>
        <w:ind w:left="-720" w:right="-450"/>
        <w:contextualSpacing w:val="0"/>
        <w:jc w:val="center"/>
        <w:rPr>
          <w:b/>
          <w:color w:val="365F91" w:themeColor="accent1" w:themeShade="BF"/>
        </w:rPr>
      </w:pPr>
      <w:r w:rsidRPr="00D02998">
        <w:rPr>
          <w:b/>
          <w:color w:val="365F91" w:themeColor="accent1" w:themeShade="BF"/>
        </w:rPr>
        <w:t xml:space="preserve">Dates:  </w:t>
      </w:r>
      <w:r>
        <w:rPr>
          <w:b/>
          <w:color w:val="365F91" w:themeColor="accent1" w:themeShade="BF"/>
        </w:rPr>
        <w:t>Wednesdays</w:t>
      </w:r>
      <w:r w:rsidRPr="00D02998">
        <w:rPr>
          <w:b/>
          <w:color w:val="365F91" w:themeColor="accent1" w:themeShade="BF"/>
        </w:rPr>
        <w:t xml:space="preserve"> 13th February, 6th March, 19th June</w:t>
      </w:r>
    </w:p>
    <w:p w:rsidR="00D02998" w:rsidRPr="00477B97" w:rsidRDefault="00D02998" w:rsidP="00477B97">
      <w:pPr>
        <w:tabs>
          <w:tab w:val="left" w:pos="3380"/>
        </w:tabs>
        <w:ind w:left="-720" w:right="-450"/>
        <w:contextualSpacing w:val="0"/>
        <w:jc w:val="center"/>
        <w:rPr>
          <w:color w:val="365F91" w:themeColor="accent1" w:themeShade="BF"/>
          <w:sz w:val="18"/>
        </w:rPr>
      </w:pPr>
    </w:p>
    <w:p w:rsidR="002A2AD3" w:rsidRPr="00D02998" w:rsidRDefault="00D02998" w:rsidP="00477B97">
      <w:pPr>
        <w:ind w:left="-720" w:right="-846"/>
        <w:contextualSpacing w:val="0"/>
        <w:jc w:val="center"/>
        <w:rPr>
          <w:b/>
          <w:color w:val="365F91" w:themeColor="accent1" w:themeShade="BF"/>
        </w:rPr>
      </w:pPr>
      <w:r>
        <w:rPr>
          <w:b/>
          <w:color w:val="365F91" w:themeColor="accent1" w:themeShade="BF"/>
        </w:rPr>
        <w:t>Sessions will take place from</w:t>
      </w:r>
      <w:r>
        <w:rPr>
          <w:color w:val="365F91" w:themeColor="accent1" w:themeShade="BF"/>
        </w:rPr>
        <w:t xml:space="preserve"> </w:t>
      </w:r>
      <w:r w:rsidRPr="00D02998">
        <w:rPr>
          <w:b/>
          <w:color w:val="365F91" w:themeColor="accent1" w:themeShade="BF"/>
        </w:rPr>
        <w:t>2pm to 5pm</w:t>
      </w:r>
      <w:r>
        <w:rPr>
          <w:b/>
          <w:color w:val="365F91" w:themeColor="accent1" w:themeShade="BF"/>
        </w:rPr>
        <w:t xml:space="preserve"> at </w:t>
      </w:r>
      <w:r w:rsidRPr="00D02998">
        <w:rPr>
          <w:b/>
          <w:color w:val="365F91" w:themeColor="accent1" w:themeShade="BF"/>
        </w:rPr>
        <w:t>St Bede</w:t>
      </w:r>
      <w:r>
        <w:rPr>
          <w:b/>
          <w:color w:val="365F91" w:themeColor="accent1" w:themeShade="BF"/>
        </w:rPr>
        <w:t>’</w:t>
      </w:r>
      <w:r w:rsidRPr="00D02998">
        <w:rPr>
          <w:b/>
          <w:color w:val="365F91" w:themeColor="accent1" w:themeShade="BF"/>
        </w:rPr>
        <w:t>s Catholic College, Long Cross, Bristol BS11 0SU</w:t>
      </w:r>
    </w:p>
    <w:p w:rsidR="002A2AD3" w:rsidRPr="00477B97" w:rsidRDefault="002A2AD3" w:rsidP="00477B97">
      <w:pPr>
        <w:ind w:left="-720"/>
        <w:contextualSpacing w:val="0"/>
        <w:jc w:val="center"/>
        <w:rPr>
          <w:color w:val="222222"/>
          <w:sz w:val="16"/>
          <w:highlight w:val="white"/>
        </w:rPr>
      </w:pPr>
    </w:p>
    <w:p w:rsidR="00AD1F02" w:rsidRDefault="00D02998" w:rsidP="00AD1F02">
      <w:pPr>
        <w:ind w:left="-720" w:right="-450"/>
        <w:contextualSpacing w:val="0"/>
        <w:jc w:val="center"/>
        <w:rPr>
          <w:b/>
          <w:color w:val="365F91" w:themeColor="accent1" w:themeShade="BF"/>
        </w:rPr>
      </w:pPr>
      <w:r w:rsidRPr="00D02998">
        <w:rPr>
          <w:b/>
          <w:color w:val="365F91" w:themeColor="accent1" w:themeShade="BF"/>
        </w:rPr>
        <w:t xml:space="preserve">To reserve your place </w:t>
      </w:r>
      <w:r w:rsidR="00477B97">
        <w:rPr>
          <w:b/>
          <w:color w:val="365F91" w:themeColor="accent1" w:themeShade="BF"/>
        </w:rPr>
        <w:t xml:space="preserve">on this work group please </w:t>
      </w:r>
      <w:r w:rsidR="00F46E5D">
        <w:rPr>
          <w:b/>
          <w:color w:val="365F91" w:themeColor="accent1" w:themeShade="BF"/>
        </w:rPr>
        <w:t xml:space="preserve">email Boolean </w:t>
      </w:r>
      <w:proofErr w:type="spellStart"/>
      <w:r w:rsidR="00F46E5D">
        <w:rPr>
          <w:b/>
          <w:color w:val="365F91" w:themeColor="accent1" w:themeShade="BF"/>
        </w:rPr>
        <w:t>Maths</w:t>
      </w:r>
      <w:proofErr w:type="spellEnd"/>
      <w:r w:rsidR="00F46E5D">
        <w:rPr>
          <w:b/>
          <w:color w:val="365F91" w:themeColor="accent1" w:themeShade="BF"/>
        </w:rPr>
        <w:t xml:space="preserve"> Hub for the online booking link at </w:t>
      </w:r>
    </w:p>
    <w:p w:rsidR="00AD1F02" w:rsidRPr="00AD1F02" w:rsidRDefault="00AD1F02" w:rsidP="00477B97">
      <w:pPr>
        <w:ind w:left="-720" w:right="-450"/>
        <w:contextualSpacing w:val="0"/>
        <w:jc w:val="both"/>
        <w:rPr>
          <w:b/>
          <w:color w:val="365F91" w:themeColor="accent1" w:themeShade="BF"/>
          <w:sz w:val="6"/>
        </w:rPr>
      </w:pPr>
    </w:p>
    <w:p w:rsidR="00D02998" w:rsidRDefault="00F46E5D" w:rsidP="00F46E5D">
      <w:pPr>
        <w:ind w:right="-450"/>
        <w:contextualSpacing w:val="0"/>
        <w:jc w:val="center"/>
        <w:rPr>
          <w:rStyle w:val="Hyperlink"/>
          <w:rFonts w:ascii="Calibri" w:eastAsia="Times New Roman" w:hAnsi="Calibri"/>
        </w:rPr>
      </w:pPr>
      <w:hyperlink r:id="rId7" w:history="1">
        <w:r w:rsidR="00D02998" w:rsidRPr="008A194C">
          <w:rPr>
            <w:rStyle w:val="Hyperlink"/>
            <w:rFonts w:ascii="Calibri" w:eastAsia="Times New Roman" w:hAnsi="Calibri"/>
          </w:rPr>
          <w:t>BooleanMathsHub@clf.cabot.ac.uk</w:t>
        </w:r>
      </w:hyperlink>
    </w:p>
    <w:p w:rsidR="00477B97" w:rsidRPr="00AD1F02" w:rsidRDefault="00477B97" w:rsidP="00477B97">
      <w:pPr>
        <w:ind w:left="-720" w:right="-450"/>
        <w:contextualSpacing w:val="0"/>
        <w:jc w:val="both"/>
        <w:rPr>
          <w:rFonts w:ascii="Calibri" w:eastAsia="Times New Roman" w:hAnsi="Calibri"/>
          <w:color w:val="365F91" w:themeColor="accent1" w:themeShade="BF"/>
          <w:sz w:val="8"/>
        </w:rPr>
      </w:pPr>
    </w:p>
    <w:p w:rsidR="00477B97" w:rsidRDefault="00477B97" w:rsidP="00477B97">
      <w:pPr>
        <w:ind w:left="-720"/>
        <w:contextualSpacing w:val="0"/>
        <w:jc w:val="both"/>
        <w:rPr>
          <w:color w:val="365F91" w:themeColor="accent1" w:themeShade="BF"/>
        </w:rPr>
      </w:pPr>
      <w:r w:rsidRPr="00477B97">
        <w:rPr>
          <w:b/>
          <w:color w:val="365F91" w:themeColor="accent1" w:themeShade="BF"/>
        </w:rPr>
        <w:t>School Commitment:</w:t>
      </w:r>
      <w:r w:rsidRPr="00477B97">
        <w:rPr>
          <w:color w:val="365F91" w:themeColor="accent1" w:themeShade="BF"/>
        </w:rPr>
        <w:t xml:space="preserve"> </w:t>
      </w:r>
    </w:p>
    <w:p w:rsidR="00F46E5D" w:rsidRDefault="00477B97" w:rsidP="00477B97">
      <w:pPr>
        <w:ind w:left="-720"/>
        <w:contextualSpacing w:val="0"/>
        <w:jc w:val="both"/>
        <w:rPr>
          <w:color w:val="365F91" w:themeColor="accent1" w:themeShade="BF"/>
          <w:highlight w:val="white"/>
        </w:rPr>
      </w:pPr>
      <w:r w:rsidRPr="00477B97">
        <w:rPr>
          <w:b/>
          <w:noProof/>
          <w:color w:val="365F91" w:themeColor="accent1" w:themeShade="BF"/>
          <w:lang w:val="en-GB"/>
        </w:rPr>
        <w:drawing>
          <wp:anchor distT="114300" distB="114300" distL="114300" distR="114300" simplePos="0" relativeHeight="251669504" behindDoc="0" locked="0" layoutInCell="1" hidden="0" allowOverlap="1">
            <wp:simplePos x="0" y="0"/>
            <wp:positionH relativeFrom="margin">
              <wp:posOffset>4940300</wp:posOffset>
            </wp:positionH>
            <wp:positionV relativeFrom="paragraph">
              <wp:posOffset>851535</wp:posOffset>
            </wp:positionV>
            <wp:extent cx="1857375" cy="776605"/>
            <wp:effectExtent l="0" t="0" r="9525" b="4445"/>
            <wp:wrapNone/>
            <wp:docPr id="3" name="image3.png" descr="Image result for Boolean Maths Hub"/>
            <wp:cNvGraphicFramePr/>
            <a:graphic xmlns:a="http://schemas.openxmlformats.org/drawingml/2006/main">
              <a:graphicData uri="http://schemas.openxmlformats.org/drawingml/2006/picture">
                <pic:pic xmlns:pic="http://schemas.openxmlformats.org/drawingml/2006/picture">
                  <pic:nvPicPr>
                    <pic:cNvPr id="0" name="image3.png" descr="Image result for Boolean Maths Hub"/>
                    <pic:cNvPicPr preferRelativeResize="0"/>
                  </pic:nvPicPr>
                  <pic:blipFill>
                    <a:blip r:embed="rId8"/>
                    <a:srcRect/>
                    <a:stretch>
                      <a:fillRect/>
                    </a:stretch>
                  </pic:blipFill>
                  <pic:spPr>
                    <a:xfrm>
                      <a:off x="0" y="0"/>
                      <a:ext cx="1857375" cy="776605"/>
                    </a:xfrm>
                    <a:prstGeom prst="rect">
                      <a:avLst/>
                    </a:prstGeom>
                    <a:ln/>
                  </pic:spPr>
                </pic:pic>
              </a:graphicData>
            </a:graphic>
            <wp14:sizeRelH relativeFrom="margin">
              <wp14:pctWidth>0</wp14:pctWidth>
            </wp14:sizeRelH>
            <wp14:sizeRelV relativeFrom="margin">
              <wp14:pctHeight>0</wp14:pctHeight>
            </wp14:sizeRelV>
          </wp:anchor>
        </w:drawing>
      </w:r>
      <w:r w:rsidRPr="00477B97">
        <w:rPr>
          <w:b/>
          <w:noProof/>
          <w:color w:val="365F91" w:themeColor="accent1" w:themeShade="BF"/>
          <w:lang w:val="en-GB"/>
        </w:rPr>
        <w:drawing>
          <wp:anchor distT="114300" distB="114300" distL="114300" distR="114300" simplePos="0" relativeHeight="251655168" behindDoc="0" locked="0" layoutInCell="1" hidden="0" allowOverlap="1">
            <wp:simplePos x="0" y="0"/>
            <wp:positionH relativeFrom="margin">
              <wp:posOffset>-405765</wp:posOffset>
            </wp:positionH>
            <wp:positionV relativeFrom="paragraph">
              <wp:posOffset>894080</wp:posOffset>
            </wp:positionV>
            <wp:extent cx="1679485" cy="700088"/>
            <wp:effectExtent l="0" t="0" r="0" b="5080"/>
            <wp:wrapNone/>
            <wp:docPr id="4" name="image1.jpg" descr="Image result for GLOW Maths Hub"/>
            <wp:cNvGraphicFramePr/>
            <a:graphic xmlns:a="http://schemas.openxmlformats.org/drawingml/2006/main">
              <a:graphicData uri="http://schemas.openxmlformats.org/drawingml/2006/picture">
                <pic:pic xmlns:pic="http://schemas.openxmlformats.org/drawingml/2006/picture">
                  <pic:nvPicPr>
                    <pic:cNvPr id="0" name="image1.jpg" descr="Image result for GLOW Maths Hub"/>
                    <pic:cNvPicPr preferRelativeResize="0"/>
                  </pic:nvPicPr>
                  <pic:blipFill>
                    <a:blip r:embed="rId9"/>
                    <a:srcRect/>
                    <a:stretch>
                      <a:fillRect/>
                    </a:stretch>
                  </pic:blipFill>
                  <pic:spPr>
                    <a:xfrm>
                      <a:off x="0" y="0"/>
                      <a:ext cx="1679485" cy="700088"/>
                    </a:xfrm>
                    <a:prstGeom prst="rect">
                      <a:avLst/>
                    </a:prstGeom>
                    <a:ln/>
                  </pic:spPr>
                </pic:pic>
              </a:graphicData>
            </a:graphic>
          </wp:anchor>
        </w:drawing>
      </w:r>
      <w:r w:rsidRPr="00477B97">
        <w:rPr>
          <w:color w:val="365F91" w:themeColor="accent1" w:themeShade="BF"/>
        </w:rPr>
        <w:t xml:space="preserve">As part of the conditions of booking, school senior leadership will commit to the release of the same </w:t>
      </w:r>
      <w:r>
        <w:rPr>
          <w:color w:val="365F91" w:themeColor="accent1" w:themeShade="BF"/>
        </w:rPr>
        <w:t>n</w:t>
      </w:r>
      <w:r w:rsidRPr="00477B97">
        <w:rPr>
          <w:color w:val="365F91" w:themeColor="accent1" w:themeShade="BF"/>
        </w:rPr>
        <w:t>ominated teacher(s) for all four workshops and to support them in completing the gap tasks, wider staff and departmental engagement, between each workshop.  The department will also support the participating teachers to summarise the impact of Work Group participation as part of the professional development and Work Group evaluation.</w:t>
      </w:r>
    </w:p>
    <w:p w:rsidR="00F46E5D" w:rsidRDefault="00F46E5D" w:rsidP="00F46E5D">
      <w:pPr>
        <w:rPr>
          <w:highlight w:val="white"/>
        </w:rPr>
      </w:pPr>
    </w:p>
    <w:p w:rsidR="002A2AD3" w:rsidRPr="00F46E5D" w:rsidRDefault="00F46E5D" w:rsidP="00F46E5D">
      <w:pPr>
        <w:tabs>
          <w:tab w:val="left" w:pos="3615"/>
        </w:tabs>
        <w:rPr>
          <w:highlight w:val="white"/>
        </w:rPr>
      </w:pPr>
      <w:r>
        <w:rPr>
          <w:highlight w:val="white"/>
        </w:rPr>
        <w:tab/>
      </w:r>
      <w:bookmarkStart w:id="0" w:name="_GoBack"/>
      <w:bookmarkEnd w:id="0"/>
    </w:p>
    <w:sectPr w:rsidR="002A2AD3" w:rsidRPr="00F46E5D" w:rsidSect="00477B97">
      <w:headerReference w:type="default" r:id="rId10"/>
      <w:pgSz w:w="12240" w:h="15840"/>
      <w:pgMar w:top="1418" w:right="1021" w:bottom="142" w:left="1021" w:header="0" w:footer="51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2998" w:rsidRDefault="00D02998" w:rsidP="00D02998">
      <w:pPr>
        <w:spacing w:line="240" w:lineRule="auto"/>
      </w:pPr>
      <w:r>
        <w:separator/>
      </w:r>
    </w:p>
  </w:endnote>
  <w:endnote w:type="continuationSeparator" w:id="0">
    <w:p w:rsidR="00D02998" w:rsidRDefault="00D02998" w:rsidP="00D0299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2998" w:rsidRDefault="00D02998" w:rsidP="00D02998">
      <w:pPr>
        <w:spacing w:line="240" w:lineRule="auto"/>
      </w:pPr>
      <w:r>
        <w:separator/>
      </w:r>
    </w:p>
  </w:footnote>
  <w:footnote w:type="continuationSeparator" w:id="0">
    <w:p w:rsidR="00D02998" w:rsidRDefault="00D02998" w:rsidP="00D0299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2998" w:rsidRDefault="00D02998" w:rsidP="00477B97">
    <w:pPr>
      <w:pStyle w:val="Header"/>
      <w:jc w:val="right"/>
    </w:pPr>
    <w:r>
      <w:rPr>
        <w:noProof/>
        <w:lang w:val="en-GB"/>
      </w:rPr>
      <w:drawing>
        <wp:anchor distT="0" distB="0" distL="0" distR="0" simplePos="0" relativeHeight="251658752" behindDoc="0" locked="0" layoutInCell="1" hidden="0" allowOverlap="1" wp14:anchorId="0BEA4F02" wp14:editId="36E5BC58">
          <wp:simplePos x="0" y="0"/>
          <wp:positionH relativeFrom="margin">
            <wp:posOffset>3590925</wp:posOffset>
          </wp:positionH>
          <wp:positionV relativeFrom="paragraph">
            <wp:posOffset>161925</wp:posOffset>
          </wp:positionV>
          <wp:extent cx="3081020" cy="1133475"/>
          <wp:effectExtent l="0" t="0" r="0" b="0"/>
          <wp:wrapTopAndBottom distT="0" distB="0"/>
          <wp:docPr id="45" name="image4.jpg" descr="Image result for Boolean Maths Hub"/>
          <wp:cNvGraphicFramePr/>
          <a:graphic xmlns:a="http://schemas.openxmlformats.org/drawingml/2006/main">
            <a:graphicData uri="http://schemas.openxmlformats.org/drawingml/2006/picture">
              <pic:pic xmlns:pic="http://schemas.openxmlformats.org/drawingml/2006/picture">
                <pic:nvPicPr>
                  <pic:cNvPr id="0" name="image4.jpg" descr="Image result for Boolean Maths Hub"/>
                  <pic:cNvPicPr preferRelativeResize="0"/>
                </pic:nvPicPr>
                <pic:blipFill>
                  <a:blip r:embed="rId1"/>
                  <a:srcRect/>
                  <a:stretch>
                    <a:fillRect/>
                  </a:stretch>
                </pic:blipFill>
                <pic:spPr>
                  <a:xfrm>
                    <a:off x="0" y="0"/>
                    <a:ext cx="3081020" cy="1133475"/>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AD3"/>
    <w:rsid w:val="002A2AD3"/>
    <w:rsid w:val="00477B97"/>
    <w:rsid w:val="00AD1F02"/>
    <w:rsid w:val="00D02998"/>
    <w:rsid w:val="00DA2808"/>
    <w:rsid w:val="00F46E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160D3"/>
  <w15:docId w15:val="{0489DAB4-936C-4109-994C-108E0BE21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GB" w:bidi="ar-SA"/>
      </w:rPr>
    </w:rPrDefault>
    <w:pPrDefault>
      <w:pPr>
        <w:spacing w:line="276" w:lineRule="auto"/>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D02998"/>
    <w:pPr>
      <w:tabs>
        <w:tab w:val="center" w:pos="4513"/>
        <w:tab w:val="right" w:pos="9026"/>
      </w:tabs>
      <w:spacing w:line="240" w:lineRule="auto"/>
    </w:pPr>
  </w:style>
  <w:style w:type="character" w:customStyle="1" w:styleId="HeaderChar">
    <w:name w:val="Header Char"/>
    <w:basedOn w:val="DefaultParagraphFont"/>
    <w:link w:val="Header"/>
    <w:uiPriority w:val="99"/>
    <w:rsid w:val="00D02998"/>
  </w:style>
  <w:style w:type="paragraph" w:styleId="Footer">
    <w:name w:val="footer"/>
    <w:basedOn w:val="Normal"/>
    <w:link w:val="FooterChar"/>
    <w:uiPriority w:val="99"/>
    <w:unhideWhenUsed/>
    <w:rsid w:val="00D02998"/>
    <w:pPr>
      <w:tabs>
        <w:tab w:val="center" w:pos="4513"/>
        <w:tab w:val="right" w:pos="9026"/>
      </w:tabs>
      <w:spacing w:line="240" w:lineRule="auto"/>
    </w:pPr>
  </w:style>
  <w:style w:type="character" w:customStyle="1" w:styleId="FooterChar">
    <w:name w:val="Footer Char"/>
    <w:basedOn w:val="DefaultParagraphFont"/>
    <w:link w:val="Footer"/>
    <w:uiPriority w:val="99"/>
    <w:rsid w:val="00D02998"/>
  </w:style>
  <w:style w:type="character" w:styleId="Hyperlink">
    <w:name w:val="Hyperlink"/>
    <w:uiPriority w:val="99"/>
    <w:unhideWhenUsed/>
    <w:rsid w:val="00D0299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yperlink" Target="mailto:BooleanMathsHub@clf.cabot.ac.uk"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5855C186</Template>
  <TotalTime>0</TotalTime>
  <Pages>1</Pages>
  <Words>381</Words>
  <Characters>2176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Cabot Learning Federation</Company>
  <LinksUpToDate>false</LinksUpToDate>
  <CharactersWithSpaces>2552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Corbidge</dc:creator>
  <cp:lastModifiedBy>Linda Corbidge</cp:lastModifiedBy>
  <cp:revision>2</cp:revision>
  <dcterms:created xsi:type="dcterms:W3CDTF">2018-11-22T18:48:00Z</dcterms:created>
  <dcterms:modified xsi:type="dcterms:W3CDTF">2018-11-22T18:48:00Z</dcterms:modified>
</cp:coreProperties>
</file>